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E9" w:rsidRDefault="008A30E9" w:rsidP="00B65209">
      <w:pPr>
        <w:jc w:val="center"/>
        <w:rPr>
          <w:b/>
          <w:sz w:val="28"/>
          <w:szCs w:val="28"/>
          <w:u w:val="single"/>
        </w:rPr>
      </w:pPr>
      <w:r w:rsidRPr="00B65209">
        <w:rPr>
          <w:b/>
          <w:sz w:val="28"/>
          <w:szCs w:val="28"/>
          <w:u w:val="single"/>
        </w:rPr>
        <w:t xml:space="preserve">Oxfordshire </w:t>
      </w:r>
      <w:r w:rsidR="00417980">
        <w:rPr>
          <w:b/>
          <w:sz w:val="28"/>
          <w:szCs w:val="28"/>
          <w:u w:val="single"/>
        </w:rPr>
        <w:t xml:space="preserve">Growth Deal and City Deal Programme Reports </w:t>
      </w:r>
    </w:p>
    <w:p w:rsidR="00B65209" w:rsidRDefault="00B65209" w:rsidP="00B65209">
      <w:pPr>
        <w:jc w:val="center"/>
        <w:rPr>
          <w:b/>
          <w:sz w:val="28"/>
          <w:szCs w:val="28"/>
          <w:u w:val="single"/>
        </w:rPr>
      </w:pPr>
    </w:p>
    <w:p w:rsidR="00B65209" w:rsidRPr="002E137E" w:rsidRDefault="00B65209" w:rsidP="002E137E">
      <w:pPr>
        <w:rPr>
          <w:b/>
        </w:rPr>
      </w:pPr>
      <w:r w:rsidRPr="002E137E">
        <w:rPr>
          <w:b/>
        </w:rPr>
        <w:t>Purpose of report</w:t>
      </w:r>
    </w:p>
    <w:p w:rsidR="00417980" w:rsidRPr="00B65209" w:rsidRDefault="00417980" w:rsidP="00B65209">
      <w:pPr>
        <w:rPr>
          <w:b/>
        </w:rPr>
      </w:pPr>
    </w:p>
    <w:p w:rsidR="00B65209" w:rsidRPr="00417980" w:rsidRDefault="00417980" w:rsidP="002E137E">
      <w:pPr>
        <w:pStyle w:val="ListParagraph"/>
        <w:numPr>
          <w:ilvl w:val="0"/>
          <w:numId w:val="10"/>
        </w:numPr>
      </w:pPr>
      <w:r w:rsidRPr="00417980">
        <w:t xml:space="preserve">To update the </w:t>
      </w:r>
      <w:r>
        <w:t>G</w:t>
      </w:r>
      <w:r w:rsidRPr="00417980">
        <w:t xml:space="preserve">rowth </w:t>
      </w:r>
      <w:r>
        <w:t>B</w:t>
      </w:r>
      <w:r w:rsidRPr="00417980">
        <w:t xml:space="preserve">oard on progress with the City and </w:t>
      </w:r>
      <w:r w:rsidR="002E137E">
        <w:t>G</w:t>
      </w:r>
      <w:r w:rsidRPr="00417980">
        <w:t xml:space="preserve">rowth Deal projects agreed with government </w:t>
      </w:r>
    </w:p>
    <w:p w:rsidR="00B65209" w:rsidRDefault="00B65209" w:rsidP="00B65209">
      <w:pPr>
        <w:rPr>
          <w:sz w:val="22"/>
          <w:szCs w:val="22"/>
        </w:rPr>
      </w:pPr>
    </w:p>
    <w:p w:rsidR="00B65209" w:rsidRPr="002E137E" w:rsidRDefault="00B65209" w:rsidP="002E137E">
      <w:pPr>
        <w:rPr>
          <w:b/>
        </w:rPr>
      </w:pPr>
      <w:r w:rsidRPr="002E137E">
        <w:rPr>
          <w:b/>
        </w:rPr>
        <w:t>Recommendation</w:t>
      </w:r>
    </w:p>
    <w:p w:rsidR="00B65209" w:rsidRDefault="00B65209" w:rsidP="00B65209">
      <w:pPr>
        <w:rPr>
          <w:sz w:val="22"/>
          <w:szCs w:val="22"/>
        </w:rPr>
      </w:pPr>
    </w:p>
    <w:p w:rsidR="00B65209" w:rsidRPr="002E137E" w:rsidRDefault="00B65209" w:rsidP="002E137E">
      <w:pPr>
        <w:pStyle w:val="ListParagraph"/>
        <w:rPr>
          <w:i/>
        </w:rPr>
      </w:pPr>
      <w:r w:rsidRPr="002E137E">
        <w:rPr>
          <w:i/>
        </w:rPr>
        <w:t xml:space="preserve">That the Growth Board </w:t>
      </w:r>
      <w:proofErr w:type="gramStart"/>
      <w:r w:rsidRPr="002E137E">
        <w:rPr>
          <w:i/>
        </w:rPr>
        <w:t>note</w:t>
      </w:r>
      <w:proofErr w:type="gramEnd"/>
      <w:r w:rsidRPr="002E137E">
        <w:rPr>
          <w:i/>
        </w:rPr>
        <w:t xml:space="preserve"> the report</w:t>
      </w:r>
      <w:r w:rsidR="002E137E" w:rsidRPr="002E137E">
        <w:rPr>
          <w:i/>
        </w:rPr>
        <w:t xml:space="preserve"> and appendix</w:t>
      </w:r>
    </w:p>
    <w:p w:rsidR="00B65209" w:rsidRDefault="00B65209" w:rsidP="00B65209">
      <w:pPr>
        <w:rPr>
          <w:sz w:val="22"/>
          <w:szCs w:val="22"/>
        </w:rPr>
      </w:pPr>
    </w:p>
    <w:p w:rsidR="00417980" w:rsidRDefault="00B65209" w:rsidP="002E137E">
      <w:pPr>
        <w:rPr>
          <w:rFonts w:cstheme="minorHAnsi"/>
          <w:b/>
          <w:szCs w:val="20"/>
        </w:rPr>
      </w:pPr>
      <w:r w:rsidRPr="002E137E">
        <w:rPr>
          <w:b/>
        </w:rPr>
        <w:t>Background</w:t>
      </w:r>
      <w:r w:rsidR="00417980" w:rsidRPr="002E137E">
        <w:rPr>
          <w:b/>
        </w:rPr>
        <w:t xml:space="preserve">- </w:t>
      </w:r>
      <w:r w:rsidR="00417980" w:rsidRPr="002E137E">
        <w:rPr>
          <w:rFonts w:cstheme="minorHAnsi"/>
          <w:b/>
          <w:szCs w:val="20"/>
        </w:rPr>
        <w:t>Operating Plan Update</w:t>
      </w:r>
    </w:p>
    <w:p w:rsidR="002E137E" w:rsidRPr="002E137E" w:rsidRDefault="002E137E" w:rsidP="002E137E">
      <w:pPr>
        <w:rPr>
          <w:rFonts w:cstheme="minorHAnsi"/>
          <w:b/>
          <w:szCs w:val="20"/>
        </w:rPr>
      </w:pPr>
    </w:p>
    <w:p w:rsidR="00417980" w:rsidRPr="002E137E" w:rsidRDefault="00417980" w:rsidP="002E137E">
      <w:pPr>
        <w:pStyle w:val="ListParagraph"/>
        <w:numPr>
          <w:ilvl w:val="0"/>
          <w:numId w:val="10"/>
        </w:numPr>
        <w:jc w:val="both"/>
        <w:rPr>
          <w:rFonts w:eastAsia="Calibri" w:cstheme="minorHAnsi"/>
          <w:color w:val="000000"/>
          <w:szCs w:val="20"/>
        </w:rPr>
      </w:pPr>
      <w:r w:rsidRPr="002E137E">
        <w:rPr>
          <w:rFonts w:eastAsia="Calibri" w:cstheme="minorHAnsi"/>
          <w:color w:val="000000"/>
          <w:szCs w:val="20"/>
        </w:rPr>
        <w:t xml:space="preserve">The </w:t>
      </w:r>
      <w:r w:rsidR="002E137E">
        <w:rPr>
          <w:rFonts w:eastAsia="Calibri" w:cstheme="minorHAnsi"/>
          <w:color w:val="000000"/>
          <w:szCs w:val="20"/>
        </w:rPr>
        <w:t>Operating Plan P</w:t>
      </w:r>
      <w:r w:rsidRPr="002E137E">
        <w:rPr>
          <w:rFonts w:eastAsia="Calibri" w:cstheme="minorHAnsi"/>
          <w:color w:val="000000"/>
          <w:szCs w:val="20"/>
        </w:rPr>
        <w:t xml:space="preserve">rogress </w:t>
      </w:r>
      <w:r w:rsidR="002E137E">
        <w:rPr>
          <w:rFonts w:eastAsia="Calibri" w:cstheme="minorHAnsi"/>
          <w:color w:val="000000"/>
          <w:szCs w:val="20"/>
        </w:rPr>
        <w:t>R</w:t>
      </w:r>
      <w:r w:rsidRPr="002E137E">
        <w:rPr>
          <w:rFonts w:eastAsia="Calibri" w:cstheme="minorHAnsi"/>
          <w:color w:val="000000"/>
          <w:szCs w:val="20"/>
        </w:rPr>
        <w:t>eport (a</w:t>
      </w:r>
      <w:r w:rsidRPr="002E137E">
        <w:rPr>
          <w:rFonts w:eastAsia="Calibri" w:cstheme="minorHAnsi"/>
          <w:color w:val="000000"/>
          <w:szCs w:val="20"/>
        </w:rPr>
        <w:t>ppendix</w:t>
      </w:r>
      <w:r w:rsidRPr="002E137E">
        <w:rPr>
          <w:rFonts w:eastAsia="Calibri" w:cstheme="minorHAnsi"/>
          <w:color w:val="000000"/>
          <w:szCs w:val="20"/>
        </w:rPr>
        <w:t xml:space="preserve"> 1) </w:t>
      </w:r>
      <w:r w:rsidRPr="002E137E">
        <w:rPr>
          <w:rFonts w:eastAsia="Calibri" w:cstheme="minorHAnsi"/>
          <w:color w:val="000000"/>
          <w:szCs w:val="20"/>
        </w:rPr>
        <w:t xml:space="preserve">is compiled by </w:t>
      </w:r>
      <w:proofErr w:type="spellStart"/>
      <w:r w:rsidRPr="002E137E">
        <w:rPr>
          <w:rFonts w:eastAsia="Calibri" w:cstheme="minorHAnsi"/>
          <w:color w:val="000000"/>
          <w:szCs w:val="20"/>
        </w:rPr>
        <w:t>OxLEP</w:t>
      </w:r>
      <w:proofErr w:type="spellEnd"/>
      <w:r w:rsidRPr="002E137E">
        <w:rPr>
          <w:rFonts w:eastAsia="Calibri" w:cstheme="minorHAnsi"/>
          <w:color w:val="000000"/>
          <w:szCs w:val="20"/>
        </w:rPr>
        <w:t xml:space="preserve"> on behalf of the Growth </w:t>
      </w:r>
      <w:r w:rsidR="002E137E">
        <w:rPr>
          <w:rFonts w:eastAsia="Calibri" w:cstheme="minorHAnsi"/>
          <w:color w:val="000000"/>
          <w:szCs w:val="20"/>
        </w:rPr>
        <w:t>B</w:t>
      </w:r>
      <w:r w:rsidRPr="002E137E">
        <w:rPr>
          <w:rFonts w:eastAsia="Calibri" w:cstheme="minorHAnsi"/>
          <w:color w:val="000000"/>
          <w:szCs w:val="20"/>
        </w:rPr>
        <w:t xml:space="preserve">oard and </w:t>
      </w:r>
      <w:r w:rsidRPr="002E137E">
        <w:rPr>
          <w:rFonts w:eastAsia="Calibri" w:cstheme="minorHAnsi"/>
          <w:color w:val="000000"/>
          <w:szCs w:val="20"/>
        </w:rPr>
        <w:t>provides an update covering the outturn period to March 2017</w:t>
      </w:r>
      <w:r w:rsidR="002E137E">
        <w:rPr>
          <w:rFonts w:eastAsia="Calibri" w:cstheme="minorHAnsi"/>
          <w:color w:val="000000"/>
          <w:szCs w:val="20"/>
        </w:rPr>
        <w:t>.</w:t>
      </w:r>
      <w:r w:rsidRPr="002E137E">
        <w:rPr>
          <w:rFonts w:eastAsia="Calibri" w:cstheme="minorHAnsi"/>
          <w:color w:val="000000"/>
          <w:szCs w:val="20"/>
        </w:rPr>
        <w:t xml:space="preserve"> </w:t>
      </w:r>
      <w:proofErr w:type="gramStart"/>
      <w:r w:rsidR="002E137E">
        <w:rPr>
          <w:rFonts w:eastAsia="Calibri" w:cstheme="minorHAnsi"/>
          <w:color w:val="000000"/>
          <w:szCs w:val="20"/>
        </w:rPr>
        <w:t xml:space="preserve">The </w:t>
      </w:r>
      <w:r w:rsidRPr="002E137E">
        <w:rPr>
          <w:rFonts w:eastAsia="Calibri" w:cstheme="minorHAnsi"/>
          <w:color w:val="000000"/>
          <w:szCs w:val="20"/>
        </w:rPr>
        <w:t xml:space="preserve"> figures</w:t>
      </w:r>
      <w:proofErr w:type="gramEnd"/>
      <w:r w:rsidRPr="002E137E">
        <w:rPr>
          <w:rFonts w:eastAsia="Calibri" w:cstheme="minorHAnsi"/>
          <w:color w:val="000000"/>
          <w:szCs w:val="20"/>
        </w:rPr>
        <w:t xml:space="preserve"> reported are generally a quarter in arrears due to reporting cycles. The reporting of outputs and outcomes is now aligned with government’s official </w:t>
      </w:r>
      <w:proofErr w:type="spellStart"/>
      <w:r w:rsidRPr="002E137E">
        <w:rPr>
          <w:rFonts w:eastAsia="Calibri" w:cstheme="minorHAnsi"/>
          <w:color w:val="000000"/>
          <w:szCs w:val="20"/>
        </w:rPr>
        <w:t>LOGASnet</w:t>
      </w:r>
      <w:proofErr w:type="spellEnd"/>
      <w:r w:rsidRPr="002E137E">
        <w:rPr>
          <w:rFonts w:eastAsia="Calibri" w:cstheme="minorHAnsi"/>
          <w:color w:val="000000"/>
          <w:szCs w:val="20"/>
        </w:rPr>
        <w:t xml:space="preserve"> reporting requirements</w:t>
      </w:r>
      <w:r w:rsidRPr="002E137E">
        <w:rPr>
          <w:rFonts w:eastAsia="Calibri" w:cstheme="minorHAnsi"/>
          <w:color w:val="000000"/>
          <w:szCs w:val="20"/>
        </w:rPr>
        <w:t xml:space="preserve">. </w:t>
      </w:r>
    </w:p>
    <w:p w:rsidR="00417980" w:rsidRDefault="00417980" w:rsidP="00417980">
      <w:pPr>
        <w:jc w:val="both"/>
        <w:rPr>
          <w:rFonts w:cstheme="minorHAnsi"/>
          <w:b/>
          <w:szCs w:val="20"/>
        </w:rPr>
      </w:pPr>
    </w:p>
    <w:p w:rsidR="00417980" w:rsidRPr="002E137E" w:rsidRDefault="00417980" w:rsidP="002E137E">
      <w:pPr>
        <w:pStyle w:val="ListParagraph"/>
        <w:numPr>
          <w:ilvl w:val="0"/>
          <w:numId w:val="10"/>
        </w:numPr>
        <w:jc w:val="both"/>
        <w:rPr>
          <w:rFonts w:eastAsia="Calibri" w:cstheme="minorHAnsi"/>
          <w:color w:val="000000"/>
          <w:szCs w:val="20"/>
        </w:rPr>
      </w:pPr>
      <w:r w:rsidRPr="002E137E">
        <w:rPr>
          <w:rFonts w:eastAsia="Calibri" w:cstheme="minorHAnsi"/>
          <w:color w:val="000000"/>
          <w:szCs w:val="20"/>
        </w:rPr>
        <w:t>The projects are RAG status coded plus “Blue” to denote completed:</w:t>
      </w:r>
    </w:p>
    <w:p w:rsidR="00417980" w:rsidRPr="00910171" w:rsidRDefault="00417980" w:rsidP="002E137E">
      <w:pPr>
        <w:ind w:left="709" w:hanging="709"/>
        <w:jc w:val="both"/>
        <w:rPr>
          <w:rFonts w:eastAsia="Calibri" w:cstheme="minorHAnsi"/>
          <w:color w:val="000000"/>
          <w:szCs w:val="20"/>
        </w:rPr>
      </w:pPr>
      <w:r w:rsidRPr="00910171">
        <w:rPr>
          <w:rFonts w:eastAsia="Calibri" w:cstheme="minorHAnsi"/>
          <w:b/>
          <w:noProof/>
          <w:color w:val="000000"/>
          <w:szCs w:val="20"/>
        </w:rPr>
        <mc:AlternateContent>
          <mc:Choice Requires="wps">
            <w:drawing>
              <wp:anchor distT="0" distB="0" distL="114300" distR="114300" simplePos="0" relativeHeight="251659264" behindDoc="0" locked="0" layoutInCell="1" allowOverlap="1" wp14:anchorId="652499E9" wp14:editId="48317415">
                <wp:simplePos x="0" y="0"/>
                <wp:positionH relativeFrom="column">
                  <wp:posOffset>50800</wp:posOffset>
                </wp:positionH>
                <wp:positionV relativeFrom="paragraph">
                  <wp:posOffset>133985</wp:posOffset>
                </wp:positionV>
                <wp:extent cx="361950" cy="215265"/>
                <wp:effectExtent l="0" t="0" r="19050" b="13335"/>
                <wp:wrapNone/>
                <wp:docPr id="5" name="Rectangle 5"/>
                <wp:cNvGraphicFramePr/>
                <a:graphic xmlns:a="http://schemas.openxmlformats.org/drawingml/2006/main">
                  <a:graphicData uri="http://schemas.microsoft.com/office/word/2010/wordprocessingShape">
                    <wps:wsp>
                      <wps:cNvSpPr/>
                      <wps:spPr>
                        <a:xfrm>
                          <a:off x="0" y="0"/>
                          <a:ext cx="361950" cy="215265"/>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pt;margin-top:10.55pt;width:28.5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" fillcolor="red" strokecolor="#385d8a" strokeweight="2pt"/>
            </w:pict>
          </mc:Fallback>
        </mc:AlternateContent>
      </w:r>
    </w:p>
    <w:p w:rsidR="00417980" w:rsidRPr="002E137E" w:rsidRDefault="002E137E" w:rsidP="002E137E">
      <w:pPr>
        <w:pStyle w:val="ListParagraph"/>
        <w:numPr>
          <w:ilvl w:val="2"/>
          <w:numId w:val="10"/>
        </w:numPr>
        <w:jc w:val="both"/>
        <w:rPr>
          <w:rFonts w:eastAsia="Calibri" w:cstheme="minorHAnsi"/>
          <w:color w:val="000000"/>
          <w:szCs w:val="20"/>
        </w:rPr>
      </w:pPr>
      <w:r w:rsidRPr="002E137E">
        <w:rPr>
          <w:rFonts w:eastAsia="Calibri" w:cstheme="minorHAnsi"/>
          <w:color w:val="000000"/>
          <w:szCs w:val="20"/>
        </w:rPr>
        <w:t>P</w:t>
      </w:r>
      <w:r w:rsidR="00417980" w:rsidRPr="002E137E">
        <w:rPr>
          <w:rFonts w:eastAsia="Calibri" w:cstheme="minorHAnsi"/>
          <w:color w:val="000000"/>
          <w:szCs w:val="20"/>
        </w:rPr>
        <w:t xml:space="preserve">rojects requiring action – </w:t>
      </w:r>
      <w:r w:rsidRPr="002E137E">
        <w:rPr>
          <w:rFonts w:eastAsia="Calibri" w:cstheme="minorHAnsi"/>
          <w:color w:val="000000"/>
          <w:szCs w:val="20"/>
        </w:rPr>
        <w:t>none</w:t>
      </w:r>
    </w:p>
    <w:p w:rsidR="00417980" w:rsidRPr="00910171" w:rsidRDefault="00417980" w:rsidP="00417980">
      <w:pPr>
        <w:jc w:val="both"/>
        <w:rPr>
          <w:rFonts w:eastAsia="Calibri" w:cstheme="minorHAnsi"/>
          <w:color w:val="000000"/>
          <w:szCs w:val="20"/>
        </w:rPr>
      </w:pPr>
      <w:r w:rsidRPr="00910171">
        <w:rPr>
          <w:rFonts w:eastAsia="Calibri" w:cstheme="minorHAnsi"/>
          <w:b/>
          <w:noProof/>
          <w:color w:val="000000"/>
          <w:szCs w:val="20"/>
        </w:rPr>
        <mc:AlternateContent>
          <mc:Choice Requires="wps">
            <w:drawing>
              <wp:anchor distT="0" distB="0" distL="114300" distR="114300" simplePos="0" relativeHeight="251660288" behindDoc="0" locked="0" layoutInCell="1" allowOverlap="1" wp14:anchorId="13BAE1BC" wp14:editId="0372A5B1">
                <wp:simplePos x="0" y="0"/>
                <wp:positionH relativeFrom="column">
                  <wp:posOffset>51435</wp:posOffset>
                </wp:positionH>
                <wp:positionV relativeFrom="paragraph">
                  <wp:posOffset>128905</wp:posOffset>
                </wp:positionV>
                <wp:extent cx="361950" cy="231775"/>
                <wp:effectExtent l="0" t="0" r="19050" b="15875"/>
                <wp:wrapNone/>
                <wp:docPr id="7" name="Rectangle 7"/>
                <wp:cNvGraphicFramePr/>
                <a:graphic xmlns:a="http://schemas.openxmlformats.org/drawingml/2006/main">
                  <a:graphicData uri="http://schemas.microsoft.com/office/word/2010/wordprocessingShape">
                    <wps:wsp>
                      <wps:cNvSpPr/>
                      <wps:spPr>
                        <a:xfrm>
                          <a:off x="0" y="0"/>
                          <a:ext cx="361950" cy="231775"/>
                        </a:xfrm>
                        <a:prstGeom prst="rect">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4.05pt;margin-top:10.15pt;width:28.5pt;height:1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" fillcolor="#ffc000" strokecolor="#385d8a" strokeweight="2pt"/>
            </w:pict>
          </mc:Fallback>
        </mc:AlternateContent>
      </w:r>
    </w:p>
    <w:p w:rsidR="00417980" w:rsidRPr="002E137E" w:rsidRDefault="00417980" w:rsidP="002E137E">
      <w:pPr>
        <w:pStyle w:val="ListParagraph"/>
        <w:numPr>
          <w:ilvl w:val="2"/>
          <w:numId w:val="10"/>
        </w:numPr>
        <w:jc w:val="both"/>
        <w:rPr>
          <w:rFonts w:eastAsia="Calibri" w:cstheme="minorHAnsi"/>
          <w:color w:val="000000"/>
          <w:szCs w:val="20"/>
        </w:rPr>
      </w:pPr>
      <w:r w:rsidRPr="002E137E">
        <w:rPr>
          <w:rFonts w:eastAsia="Calibri" w:cstheme="minorHAnsi"/>
          <w:color w:val="000000"/>
          <w:szCs w:val="20"/>
        </w:rPr>
        <w:t>Projects requiring monitoring – Listed below</w:t>
      </w:r>
    </w:p>
    <w:p w:rsidR="00417980" w:rsidRPr="00910171" w:rsidRDefault="00417980" w:rsidP="00417980">
      <w:pPr>
        <w:jc w:val="both"/>
        <w:rPr>
          <w:rFonts w:eastAsia="Calibri" w:cstheme="minorHAnsi"/>
          <w:b/>
          <w:color w:val="000000"/>
          <w:szCs w:val="20"/>
        </w:rPr>
      </w:pPr>
      <w:r w:rsidRPr="00910171">
        <w:rPr>
          <w:rFonts w:eastAsia="Calibri" w:cstheme="minorHAnsi"/>
          <w:b/>
          <w:noProof/>
          <w:color w:val="000000"/>
          <w:szCs w:val="20"/>
        </w:rPr>
        <mc:AlternateContent>
          <mc:Choice Requires="wps">
            <w:drawing>
              <wp:anchor distT="0" distB="0" distL="114300" distR="114300" simplePos="0" relativeHeight="251661312" behindDoc="0" locked="0" layoutInCell="1" allowOverlap="1" wp14:anchorId="4E797E0F" wp14:editId="25E5EAE7">
                <wp:simplePos x="0" y="0"/>
                <wp:positionH relativeFrom="column">
                  <wp:posOffset>49199</wp:posOffset>
                </wp:positionH>
                <wp:positionV relativeFrom="paragraph">
                  <wp:posOffset>140583</wp:posOffset>
                </wp:positionV>
                <wp:extent cx="361950" cy="231775"/>
                <wp:effectExtent l="0" t="0" r="19050" b="15875"/>
                <wp:wrapNone/>
                <wp:docPr id="1" name="Rectangle 1"/>
                <wp:cNvGraphicFramePr/>
                <a:graphic xmlns:a="http://schemas.openxmlformats.org/drawingml/2006/main">
                  <a:graphicData uri="http://schemas.microsoft.com/office/word/2010/wordprocessingShape">
                    <wps:wsp>
                      <wps:cNvSpPr/>
                      <wps:spPr>
                        <a:xfrm>
                          <a:off x="0" y="0"/>
                          <a:ext cx="361950" cy="231775"/>
                        </a:xfrm>
                        <a:prstGeom prst="rect">
                          <a:avLst/>
                        </a:prstGeom>
                        <a:solidFill>
                          <a:srgbClr val="9BBB59"/>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85pt;margin-top:11.05pt;width:28.5pt;height:1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" fillcolor="#9bbb59" strokecolor="#385d8a" strokeweight="2pt"/>
            </w:pict>
          </mc:Fallback>
        </mc:AlternateContent>
      </w:r>
      <w:r w:rsidRPr="00910171">
        <w:rPr>
          <w:rFonts w:eastAsia="Calibri" w:cstheme="minorHAnsi"/>
          <w:b/>
          <w:color w:val="000000"/>
          <w:szCs w:val="20"/>
        </w:rPr>
        <w:t xml:space="preserve">               </w:t>
      </w:r>
      <w:bookmarkStart w:id="0" w:name="_GoBack"/>
      <w:bookmarkEnd w:id="0"/>
      <w:r w:rsidRPr="00910171">
        <w:rPr>
          <w:rFonts w:eastAsia="Calibri" w:cstheme="minorHAnsi"/>
          <w:b/>
          <w:color w:val="000000"/>
          <w:szCs w:val="20"/>
        </w:rPr>
        <w:t xml:space="preserve">              </w:t>
      </w:r>
    </w:p>
    <w:p w:rsidR="00417980" w:rsidRPr="002E137E" w:rsidRDefault="00417980" w:rsidP="002E137E">
      <w:pPr>
        <w:pStyle w:val="ListParagraph"/>
        <w:numPr>
          <w:ilvl w:val="2"/>
          <w:numId w:val="10"/>
        </w:numPr>
        <w:jc w:val="both"/>
        <w:rPr>
          <w:rFonts w:eastAsia="Calibri" w:cstheme="minorHAnsi"/>
          <w:b/>
          <w:color w:val="000000"/>
          <w:szCs w:val="20"/>
        </w:rPr>
      </w:pPr>
      <w:r w:rsidRPr="002E137E">
        <w:rPr>
          <w:rFonts w:eastAsia="Calibri" w:cstheme="minorHAnsi"/>
          <w:color w:val="000000"/>
          <w:szCs w:val="20"/>
        </w:rPr>
        <w:t xml:space="preserve">Projects on track </w:t>
      </w:r>
      <w:r w:rsidR="002E137E" w:rsidRPr="002E137E">
        <w:rPr>
          <w:rFonts w:eastAsia="Calibri" w:cstheme="minorHAnsi"/>
          <w:color w:val="000000"/>
          <w:szCs w:val="20"/>
        </w:rPr>
        <w:t>–</w:t>
      </w:r>
      <w:r w:rsidRPr="002E137E">
        <w:rPr>
          <w:rFonts w:eastAsia="Calibri" w:cstheme="minorHAnsi"/>
          <w:color w:val="000000"/>
          <w:szCs w:val="20"/>
        </w:rPr>
        <w:t xml:space="preserve"> noted</w:t>
      </w:r>
      <w:r w:rsidR="002E137E" w:rsidRPr="002E137E">
        <w:rPr>
          <w:rFonts w:eastAsia="Calibri" w:cstheme="minorHAnsi"/>
          <w:color w:val="000000"/>
          <w:szCs w:val="20"/>
        </w:rPr>
        <w:t xml:space="preserve"> </w:t>
      </w:r>
    </w:p>
    <w:p w:rsidR="00417980" w:rsidRPr="00910171" w:rsidRDefault="00417980" w:rsidP="002E137E">
      <w:pPr>
        <w:ind w:left="709"/>
        <w:jc w:val="both"/>
        <w:rPr>
          <w:rFonts w:eastAsia="Calibri" w:cstheme="minorHAnsi"/>
          <w:color w:val="000000"/>
          <w:szCs w:val="20"/>
        </w:rPr>
      </w:pPr>
      <w:r w:rsidRPr="004E7B42">
        <w:rPr>
          <w:rFonts w:eastAsia="Calibri" w:cstheme="minorHAnsi"/>
          <w:b/>
          <w:noProof/>
          <w:szCs w:val="20"/>
        </w:rPr>
        <mc:AlternateContent>
          <mc:Choice Requires="wps">
            <w:drawing>
              <wp:anchor distT="0" distB="0" distL="114300" distR="114300" simplePos="0" relativeHeight="251663360" behindDoc="0" locked="0" layoutInCell="1" allowOverlap="1" wp14:anchorId="2B4EF77A" wp14:editId="0F78D1D0">
                <wp:simplePos x="0" y="0"/>
                <wp:positionH relativeFrom="column">
                  <wp:posOffset>50220</wp:posOffset>
                </wp:positionH>
                <wp:positionV relativeFrom="paragraph">
                  <wp:posOffset>102814</wp:posOffset>
                </wp:positionV>
                <wp:extent cx="361950" cy="231775"/>
                <wp:effectExtent l="0" t="0" r="19050" b="15875"/>
                <wp:wrapNone/>
                <wp:docPr id="6" name="Rectangle 6"/>
                <wp:cNvGraphicFramePr/>
                <a:graphic xmlns:a="http://schemas.openxmlformats.org/drawingml/2006/main">
                  <a:graphicData uri="http://schemas.microsoft.com/office/word/2010/wordprocessingShape">
                    <wps:wsp>
                      <wps:cNvSpPr/>
                      <wps:spPr>
                        <a:xfrm>
                          <a:off x="0" y="0"/>
                          <a:ext cx="361950" cy="231775"/>
                        </a:xfrm>
                        <a:prstGeom prst="rect">
                          <a:avLst/>
                        </a:prstGeom>
                        <a:solidFill>
                          <a:schemeClr val="tx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95pt;margin-top:8.1pt;width:28.5pt;height:1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" fillcolor="#1f497d [3215]" strokecolor="#385d8a" strokeweight="2pt"/>
            </w:pict>
          </mc:Fallback>
        </mc:AlternateContent>
      </w:r>
    </w:p>
    <w:p w:rsidR="00417980" w:rsidRPr="002E137E" w:rsidRDefault="00417980" w:rsidP="002E137E">
      <w:pPr>
        <w:pStyle w:val="ListParagraph"/>
        <w:numPr>
          <w:ilvl w:val="2"/>
          <w:numId w:val="10"/>
        </w:numPr>
        <w:jc w:val="both"/>
        <w:rPr>
          <w:rFonts w:eastAsia="Calibri" w:cstheme="minorHAnsi"/>
          <w:color w:val="000000"/>
          <w:szCs w:val="20"/>
        </w:rPr>
      </w:pPr>
      <w:r w:rsidRPr="002E137E">
        <w:rPr>
          <w:rFonts w:eastAsia="Calibri" w:cstheme="minorHAnsi"/>
          <w:color w:val="000000"/>
          <w:szCs w:val="20"/>
        </w:rPr>
        <w:t>Project completed</w:t>
      </w:r>
    </w:p>
    <w:p w:rsidR="00417980" w:rsidRPr="004E7B42" w:rsidRDefault="00417980" w:rsidP="00417980">
      <w:pPr>
        <w:jc w:val="both"/>
        <w:rPr>
          <w:rFonts w:eastAsia="Calibri" w:cstheme="minorHAnsi"/>
          <w:color w:val="000000"/>
          <w:szCs w:val="20"/>
        </w:rPr>
      </w:pPr>
    </w:p>
    <w:p w:rsidR="00417980" w:rsidRPr="002E137E" w:rsidRDefault="00417980" w:rsidP="002E137E">
      <w:pPr>
        <w:jc w:val="both"/>
        <w:rPr>
          <w:rFonts w:eastAsia="Calibri" w:cstheme="minorHAnsi"/>
          <w:b/>
          <w:color w:val="000000"/>
          <w:szCs w:val="20"/>
        </w:rPr>
      </w:pPr>
      <w:r w:rsidRPr="002E137E">
        <w:rPr>
          <w:rFonts w:eastAsia="Calibri" w:cstheme="minorHAnsi"/>
          <w:b/>
          <w:color w:val="000000"/>
          <w:szCs w:val="20"/>
        </w:rPr>
        <w:t>Operating Programme Progress updates 2016/17 Outturn</w:t>
      </w:r>
      <w:r w:rsidR="002E137E" w:rsidRPr="002E137E">
        <w:rPr>
          <w:rFonts w:eastAsia="Calibri" w:cstheme="minorHAnsi"/>
          <w:b/>
          <w:color w:val="000000"/>
          <w:szCs w:val="20"/>
        </w:rPr>
        <w:t>- Projects flagged as amber- requiring monitoring</w:t>
      </w:r>
    </w:p>
    <w:p w:rsidR="00417980" w:rsidRPr="00910171" w:rsidRDefault="00417980" w:rsidP="00417980">
      <w:pPr>
        <w:jc w:val="both"/>
        <w:rPr>
          <w:rFonts w:eastAsia="Calibri" w:cstheme="minorHAnsi"/>
          <w:b/>
          <w:color w:val="000000"/>
          <w:szCs w:val="20"/>
        </w:rPr>
      </w:pPr>
    </w:p>
    <w:p w:rsidR="00417980" w:rsidRPr="00910171" w:rsidRDefault="00417980" w:rsidP="00417980">
      <w:pPr>
        <w:jc w:val="both"/>
        <w:rPr>
          <w:rFonts w:eastAsia="Calibri" w:cstheme="minorHAnsi"/>
          <w:b/>
          <w:color w:val="000000"/>
          <w:szCs w:val="20"/>
        </w:rPr>
      </w:pPr>
    </w:p>
    <w:p w:rsidR="002E137E" w:rsidRDefault="00417980" w:rsidP="002E137E">
      <w:pPr>
        <w:pStyle w:val="ListParagraph"/>
        <w:numPr>
          <w:ilvl w:val="0"/>
          <w:numId w:val="11"/>
        </w:numPr>
        <w:autoSpaceDE w:val="0"/>
        <w:autoSpaceDN w:val="0"/>
        <w:adjustRightInd w:val="0"/>
        <w:spacing w:after="200"/>
        <w:jc w:val="both"/>
        <w:rPr>
          <w:rFonts w:eastAsia="Calibri" w:cstheme="minorHAnsi"/>
          <w:color w:val="000000"/>
        </w:rPr>
      </w:pPr>
      <w:r w:rsidRPr="00E9515A">
        <w:rPr>
          <w:rFonts w:eastAsia="Calibri" w:cstheme="minorHAnsi"/>
          <w:b/>
          <w:color w:val="000000"/>
        </w:rPr>
        <w:t xml:space="preserve">Apprenticeship Programme </w:t>
      </w:r>
      <w:r w:rsidR="002E137E">
        <w:rPr>
          <w:rFonts w:eastAsia="Calibri" w:cstheme="minorHAnsi"/>
          <w:b/>
          <w:color w:val="000000"/>
        </w:rPr>
        <w:t>–</w:t>
      </w:r>
      <w:r w:rsidRPr="00E9515A">
        <w:rPr>
          <w:rFonts w:eastAsia="Calibri" w:cstheme="minorHAnsi"/>
          <w:b/>
          <w:color w:val="000000"/>
        </w:rPr>
        <w:t xml:space="preserve"> </w:t>
      </w:r>
      <w:r w:rsidR="002E137E">
        <w:rPr>
          <w:rFonts w:eastAsia="Calibri" w:cstheme="minorHAnsi"/>
          <w:b/>
          <w:color w:val="000000"/>
        </w:rPr>
        <w:t>This has an a</w:t>
      </w:r>
      <w:r w:rsidRPr="00E9515A">
        <w:rPr>
          <w:rFonts w:eastAsia="Calibri" w:cstheme="minorHAnsi"/>
          <w:color w:val="000000"/>
        </w:rPr>
        <w:t xml:space="preserve">mber rating flagged because although Oxfordshire is doing better compared with SE region and National Programmes our 525 Apprentice target may not be achieved. We are negotiating with SFA to recalibrate the base year which was set nationally and reflected an “off trend” spike in uptake. External factors such as the change in University tuition fees in 2012 (£9k) may </w:t>
      </w:r>
      <w:r w:rsidR="002E137E">
        <w:rPr>
          <w:rFonts w:eastAsia="Calibri" w:cstheme="minorHAnsi"/>
          <w:color w:val="000000"/>
        </w:rPr>
        <w:t xml:space="preserve">also </w:t>
      </w:r>
      <w:r w:rsidRPr="00E9515A">
        <w:rPr>
          <w:rFonts w:eastAsia="Calibri" w:cstheme="minorHAnsi"/>
          <w:color w:val="000000"/>
        </w:rPr>
        <w:t>have had an impact in increasing take up in that year setting an unrealistic base line assessment.</w:t>
      </w:r>
    </w:p>
    <w:p w:rsidR="00417980" w:rsidRPr="00E9515A" w:rsidRDefault="00417980" w:rsidP="002E137E">
      <w:pPr>
        <w:pStyle w:val="ListParagraph"/>
        <w:autoSpaceDE w:val="0"/>
        <w:autoSpaceDN w:val="0"/>
        <w:adjustRightInd w:val="0"/>
        <w:spacing w:after="200"/>
        <w:ind w:firstLine="135"/>
        <w:jc w:val="both"/>
        <w:rPr>
          <w:rFonts w:eastAsia="Calibri" w:cstheme="minorHAnsi"/>
          <w:color w:val="000000"/>
        </w:rPr>
      </w:pPr>
    </w:p>
    <w:p w:rsidR="002E137E" w:rsidRDefault="00417980" w:rsidP="002E137E">
      <w:pPr>
        <w:pStyle w:val="ListParagraph"/>
        <w:numPr>
          <w:ilvl w:val="0"/>
          <w:numId w:val="11"/>
        </w:numPr>
        <w:spacing w:after="200"/>
        <w:jc w:val="both"/>
        <w:rPr>
          <w:rFonts w:cstheme="minorHAnsi"/>
          <w:bCs/>
        </w:rPr>
      </w:pPr>
      <w:r w:rsidRPr="00E9515A">
        <w:rPr>
          <w:rFonts w:cstheme="minorHAnsi"/>
          <w:b/>
          <w:bCs/>
        </w:rPr>
        <w:t xml:space="preserve">Oxford Flood Alleviation Scheme - </w:t>
      </w:r>
      <w:r w:rsidRPr="00E9515A">
        <w:rPr>
          <w:rFonts w:cstheme="minorHAnsi"/>
          <w:bCs/>
        </w:rPr>
        <w:t xml:space="preserve">The Amber Status reflects the ongoing work on the remaining </w:t>
      </w:r>
      <w:proofErr w:type="gramStart"/>
      <w:r w:rsidR="002E137E">
        <w:rPr>
          <w:rFonts w:cstheme="minorHAnsi"/>
          <w:bCs/>
        </w:rPr>
        <w:t xml:space="preserve">work </w:t>
      </w:r>
      <w:r w:rsidRPr="00E9515A">
        <w:rPr>
          <w:rFonts w:cstheme="minorHAnsi"/>
          <w:bCs/>
        </w:rPr>
        <w:t xml:space="preserve"> to</w:t>
      </w:r>
      <w:proofErr w:type="gramEnd"/>
      <w:r w:rsidRPr="00E9515A">
        <w:rPr>
          <w:rFonts w:cstheme="minorHAnsi"/>
          <w:bCs/>
        </w:rPr>
        <w:t xml:space="preserve"> close the current </w:t>
      </w:r>
      <w:r w:rsidR="002E137E">
        <w:rPr>
          <w:rFonts w:cstheme="minorHAnsi"/>
          <w:bCs/>
        </w:rPr>
        <w:t>£</w:t>
      </w:r>
      <w:r w:rsidRPr="00E9515A">
        <w:rPr>
          <w:rFonts w:cstheme="minorHAnsi"/>
          <w:bCs/>
        </w:rPr>
        <w:t>4.4 million funding gap.</w:t>
      </w:r>
    </w:p>
    <w:p w:rsidR="00417980" w:rsidRPr="00E9515A" w:rsidRDefault="00417980" w:rsidP="002E137E">
      <w:pPr>
        <w:pStyle w:val="ListParagraph"/>
        <w:spacing w:after="200"/>
        <w:ind w:firstLine="135"/>
        <w:jc w:val="both"/>
        <w:rPr>
          <w:rFonts w:cstheme="minorHAnsi"/>
          <w:b/>
          <w:bCs/>
        </w:rPr>
      </w:pPr>
    </w:p>
    <w:p w:rsidR="00417980" w:rsidRPr="00E9515A" w:rsidRDefault="00417980" w:rsidP="002E137E">
      <w:pPr>
        <w:pStyle w:val="ListParagraph"/>
        <w:numPr>
          <w:ilvl w:val="0"/>
          <w:numId w:val="11"/>
        </w:numPr>
        <w:jc w:val="both"/>
        <w:rPr>
          <w:rFonts w:eastAsia="Calibri" w:cstheme="minorHAnsi"/>
          <w:b/>
          <w:color w:val="000000"/>
        </w:rPr>
      </w:pPr>
      <w:r w:rsidRPr="00E9515A">
        <w:rPr>
          <w:rFonts w:eastAsia="Calibri" w:cstheme="minorHAnsi"/>
          <w:b/>
          <w:color w:val="000000"/>
        </w:rPr>
        <w:t xml:space="preserve">Access to </w:t>
      </w:r>
      <w:r w:rsidR="002E137E">
        <w:rPr>
          <w:rFonts w:eastAsia="Calibri" w:cstheme="minorHAnsi"/>
          <w:b/>
          <w:color w:val="000000"/>
        </w:rPr>
        <w:t>E</w:t>
      </w:r>
      <w:r w:rsidRPr="00E9515A">
        <w:rPr>
          <w:rFonts w:eastAsia="Calibri" w:cstheme="minorHAnsi"/>
          <w:b/>
          <w:color w:val="000000"/>
        </w:rPr>
        <w:t xml:space="preserve">nterprise </w:t>
      </w:r>
      <w:r w:rsidR="002E137E">
        <w:rPr>
          <w:rFonts w:eastAsia="Calibri" w:cstheme="minorHAnsi"/>
          <w:b/>
          <w:color w:val="000000"/>
        </w:rPr>
        <w:t>Z</w:t>
      </w:r>
      <w:r w:rsidRPr="00E9515A">
        <w:rPr>
          <w:rFonts w:eastAsia="Calibri" w:cstheme="minorHAnsi"/>
          <w:b/>
          <w:color w:val="000000"/>
        </w:rPr>
        <w:t>one -</w:t>
      </w:r>
      <w:r w:rsidRPr="00E9515A">
        <w:rPr>
          <w:rFonts w:eastAsia="Times New Roman" w:cstheme="minorHAnsi"/>
          <w:b/>
          <w:bCs/>
          <w:color w:val="000000"/>
          <w:lang w:val="en-US"/>
        </w:rPr>
        <w:t xml:space="preserve"> Featherbed Lane</w:t>
      </w:r>
      <w:r w:rsidRPr="00E9515A">
        <w:rPr>
          <w:rFonts w:eastAsia="Times New Roman" w:cstheme="minorHAnsi"/>
          <w:color w:val="000000"/>
          <w:lang w:val="en-US"/>
        </w:rPr>
        <w:t xml:space="preserve">: </w:t>
      </w:r>
      <w:r w:rsidR="002E137E">
        <w:rPr>
          <w:rFonts w:eastAsia="Times New Roman" w:cstheme="minorHAnsi"/>
          <w:color w:val="000000"/>
          <w:lang w:val="en-US"/>
        </w:rPr>
        <w:t>The c</w:t>
      </w:r>
      <w:r w:rsidRPr="00E9515A">
        <w:rPr>
          <w:rFonts w:eastAsia="Times New Roman" w:cstheme="minorHAnsi"/>
          <w:color w:val="000000"/>
          <w:lang w:val="en-US"/>
        </w:rPr>
        <w:t xml:space="preserve">urrent </w:t>
      </w:r>
      <w:r w:rsidR="002E137E">
        <w:rPr>
          <w:rFonts w:eastAsia="Times New Roman" w:cstheme="minorHAnsi"/>
          <w:color w:val="000000"/>
          <w:lang w:val="en-US"/>
        </w:rPr>
        <w:t>p</w:t>
      </w:r>
      <w:r w:rsidRPr="00E9515A">
        <w:rPr>
          <w:rFonts w:eastAsia="Times New Roman" w:cstheme="minorHAnsi"/>
          <w:color w:val="000000"/>
          <w:lang w:val="en-US"/>
        </w:rPr>
        <w:t>ro</w:t>
      </w:r>
      <w:r w:rsidR="002E137E">
        <w:rPr>
          <w:rFonts w:eastAsia="Times New Roman" w:cstheme="minorHAnsi"/>
          <w:color w:val="000000"/>
          <w:lang w:val="en-US"/>
        </w:rPr>
        <w:t xml:space="preserve">ject </w:t>
      </w:r>
      <w:proofErr w:type="spellStart"/>
      <w:r w:rsidR="002E137E">
        <w:rPr>
          <w:rFonts w:eastAsia="Times New Roman" w:cstheme="minorHAnsi"/>
          <w:color w:val="000000"/>
          <w:lang w:val="en-US"/>
        </w:rPr>
        <w:t>planis</w:t>
      </w:r>
      <w:proofErr w:type="spellEnd"/>
      <w:r w:rsidR="002E137E">
        <w:rPr>
          <w:rFonts w:eastAsia="Times New Roman" w:cstheme="minorHAnsi"/>
          <w:color w:val="000000"/>
          <w:lang w:val="en-US"/>
        </w:rPr>
        <w:t xml:space="preserve"> </w:t>
      </w:r>
      <w:r w:rsidRPr="00E9515A">
        <w:rPr>
          <w:rFonts w:eastAsia="Times New Roman" w:cstheme="minorHAnsi"/>
          <w:color w:val="000000"/>
          <w:lang w:val="en-US"/>
        </w:rPr>
        <w:t xml:space="preserve"> dependent on land purchase, hence amber status</w:t>
      </w:r>
    </w:p>
    <w:p w:rsidR="00417980" w:rsidRDefault="00417980" w:rsidP="00417980">
      <w:pPr>
        <w:pStyle w:val="ListParagraph"/>
        <w:ind w:left="360"/>
        <w:jc w:val="both"/>
        <w:rPr>
          <w:rFonts w:cstheme="minorHAnsi"/>
          <w:b/>
          <w:szCs w:val="20"/>
        </w:rPr>
      </w:pPr>
    </w:p>
    <w:p w:rsidR="00417980" w:rsidRPr="008A30E9" w:rsidRDefault="00417980">
      <w:pPr>
        <w:rPr>
          <w:b/>
        </w:rPr>
      </w:pPr>
    </w:p>
    <w:sectPr w:rsidR="00417980" w:rsidRPr="008A30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209" w:rsidRDefault="00B65209" w:rsidP="00B65209">
      <w:r>
        <w:separator/>
      </w:r>
    </w:p>
  </w:endnote>
  <w:endnote w:type="continuationSeparator" w:id="0">
    <w:p w:rsidR="00B65209" w:rsidRDefault="00B65209" w:rsidP="00B6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209" w:rsidRDefault="00B65209" w:rsidP="00B65209">
      <w:r>
        <w:separator/>
      </w:r>
    </w:p>
  </w:footnote>
  <w:footnote w:type="continuationSeparator" w:id="0">
    <w:p w:rsidR="00B65209" w:rsidRDefault="00B65209" w:rsidP="00B65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37E" w:rsidRPr="002E137E" w:rsidRDefault="002E137E" w:rsidP="002E137E">
    <w:pPr>
      <w:pStyle w:val="Header"/>
      <w:rPr>
        <w:sz w:val="16"/>
        <w:szCs w:val="16"/>
      </w:rPr>
    </w:pPr>
    <w:r w:rsidRPr="002E137E">
      <w:rPr>
        <w:sz w:val="16"/>
        <w:szCs w:val="16"/>
      </w:rPr>
      <w:t>Growth Board 26th July 2017</w:t>
    </w:r>
  </w:p>
  <w:p w:rsidR="002E137E" w:rsidRPr="002E137E" w:rsidRDefault="002E137E" w:rsidP="002E137E">
    <w:pPr>
      <w:pStyle w:val="Header"/>
      <w:rPr>
        <w:sz w:val="16"/>
        <w:szCs w:val="16"/>
      </w:rPr>
    </w:pPr>
    <w:r>
      <w:rPr>
        <w:sz w:val="16"/>
        <w:szCs w:val="16"/>
      </w:rPr>
      <w:t xml:space="preserve">Agenda item </w:t>
    </w:r>
    <w:proofErr w:type="gramStart"/>
    <w:r>
      <w:rPr>
        <w:sz w:val="16"/>
        <w:szCs w:val="16"/>
      </w:rPr>
      <w:t xml:space="preserve">8 </w:t>
    </w:r>
    <w:r w:rsidRPr="002E137E">
      <w:rPr>
        <w:sz w:val="16"/>
        <w:szCs w:val="16"/>
      </w:rPr>
      <w:t xml:space="preserve"> Oxfordshire</w:t>
    </w:r>
    <w:proofErr w:type="gramEnd"/>
    <w:r w:rsidRPr="002E137E">
      <w:rPr>
        <w:sz w:val="16"/>
        <w:szCs w:val="16"/>
      </w:rPr>
      <w:t xml:space="preserve"> Growth Board Programme Report March 2017 </w:t>
    </w:r>
  </w:p>
  <w:p w:rsidR="002E137E" w:rsidRPr="002E137E" w:rsidRDefault="002E137E" w:rsidP="002E137E">
    <w:pPr>
      <w:pStyle w:val="Header"/>
      <w:rPr>
        <w:sz w:val="16"/>
        <w:szCs w:val="16"/>
      </w:rPr>
    </w:pPr>
    <w:r w:rsidRPr="002E137E">
      <w:rPr>
        <w:sz w:val="16"/>
        <w:szCs w:val="16"/>
      </w:rPr>
      <w:t xml:space="preserve">Contact: Sarah Watson </w:t>
    </w:r>
    <w:proofErr w:type="spellStart"/>
    <w:proofErr w:type="gramStart"/>
    <w:r w:rsidRPr="002E137E">
      <w:rPr>
        <w:sz w:val="16"/>
        <w:szCs w:val="16"/>
      </w:rPr>
      <w:t>OxLEP</w:t>
    </w:r>
    <w:proofErr w:type="spellEnd"/>
    <w:r w:rsidRPr="002E137E">
      <w:rPr>
        <w:sz w:val="16"/>
        <w:szCs w:val="16"/>
      </w:rPr>
      <w:t xml:space="preserve">  Programme</w:t>
    </w:r>
    <w:proofErr w:type="gramEnd"/>
    <w:r w:rsidRPr="002E137E">
      <w:rPr>
        <w:sz w:val="16"/>
        <w:szCs w:val="16"/>
      </w:rPr>
      <w:t xml:space="preserve"> Manager </w:t>
    </w:r>
  </w:p>
  <w:p w:rsidR="00B65209" w:rsidRPr="002E137E" w:rsidRDefault="002E137E" w:rsidP="002E137E">
    <w:pPr>
      <w:pStyle w:val="Header"/>
      <w:rPr>
        <w:sz w:val="16"/>
        <w:szCs w:val="16"/>
      </w:rPr>
    </w:pPr>
    <w:r w:rsidRPr="002E137E">
      <w:rPr>
        <w:sz w:val="16"/>
        <w:szCs w:val="16"/>
      </w:rPr>
      <w:t xml:space="preserve">E- </w:t>
    </w:r>
    <w:proofErr w:type="gramStart"/>
    <w:r w:rsidRPr="002E137E">
      <w:rPr>
        <w:sz w:val="16"/>
        <w:szCs w:val="16"/>
      </w:rPr>
      <w:t>mail</w:t>
    </w:r>
    <w:proofErr w:type="gramEnd"/>
    <w:r w:rsidRPr="002E137E">
      <w:rPr>
        <w:sz w:val="16"/>
        <w:szCs w:val="16"/>
      </w:rPr>
      <w:t xml:space="preserve"> Sarah.Watson2@Oxfordshire.gov.uk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706"/>
    <w:multiLevelType w:val="hybridMultilevel"/>
    <w:tmpl w:val="B49C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A40A0"/>
    <w:multiLevelType w:val="hybridMultilevel"/>
    <w:tmpl w:val="3738CD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6A942564">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E7DF1"/>
    <w:multiLevelType w:val="hybridMultilevel"/>
    <w:tmpl w:val="CEC2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CE6CD9"/>
    <w:multiLevelType w:val="hybridMultilevel"/>
    <w:tmpl w:val="2EB4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E3E0F"/>
    <w:multiLevelType w:val="hybridMultilevel"/>
    <w:tmpl w:val="C0E0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167155"/>
    <w:multiLevelType w:val="hybridMultilevel"/>
    <w:tmpl w:val="13AC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925AEA"/>
    <w:multiLevelType w:val="hybridMultilevel"/>
    <w:tmpl w:val="37D2F5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FF4054A"/>
    <w:multiLevelType w:val="hybridMultilevel"/>
    <w:tmpl w:val="CE24E0BE"/>
    <w:lvl w:ilvl="0" w:tplc="0206F8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D9F5DD9"/>
    <w:multiLevelType w:val="hybridMultilevel"/>
    <w:tmpl w:val="2D30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B7258B"/>
    <w:multiLevelType w:val="hybridMultilevel"/>
    <w:tmpl w:val="D85E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D04F52"/>
    <w:multiLevelType w:val="hybridMultilevel"/>
    <w:tmpl w:val="75025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10"/>
  </w:num>
  <w:num w:numId="6">
    <w:abstractNumId w:val="9"/>
  </w:num>
  <w:num w:numId="7">
    <w:abstractNumId w:val="2"/>
  </w:num>
  <w:num w:numId="8">
    <w:abstractNumId w:val="5"/>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E9"/>
    <w:rsid w:val="000B4310"/>
    <w:rsid w:val="00282FE9"/>
    <w:rsid w:val="002E137E"/>
    <w:rsid w:val="004000D7"/>
    <w:rsid w:val="00417980"/>
    <w:rsid w:val="00435C61"/>
    <w:rsid w:val="004F0048"/>
    <w:rsid w:val="00504E43"/>
    <w:rsid w:val="007908F4"/>
    <w:rsid w:val="007A5211"/>
    <w:rsid w:val="00816A5B"/>
    <w:rsid w:val="008A30E9"/>
    <w:rsid w:val="008F6F73"/>
    <w:rsid w:val="00B65209"/>
    <w:rsid w:val="00BF4D5B"/>
    <w:rsid w:val="00C51BCB"/>
    <w:rsid w:val="00F8094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E9"/>
    <w:pPr>
      <w:ind w:left="720"/>
      <w:contextualSpacing/>
    </w:pPr>
  </w:style>
  <w:style w:type="paragraph" w:styleId="Header">
    <w:name w:val="header"/>
    <w:basedOn w:val="Normal"/>
    <w:link w:val="HeaderChar"/>
    <w:uiPriority w:val="99"/>
    <w:unhideWhenUsed/>
    <w:rsid w:val="00B65209"/>
    <w:pPr>
      <w:tabs>
        <w:tab w:val="center" w:pos="4513"/>
        <w:tab w:val="right" w:pos="9026"/>
      </w:tabs>
    </w:pPr>
  </w:style>
  <w:style w:type="character" w:customStyle="1" w:styleId="HeaderChar">
    <w:name w:val="Header Char"/>
    <w:basedOn w:val="DefaultParagraphFont"/>
    <w:link w:val="Header"/>
    <w:uiPriority w:val="99"/>
    <w:rsid w:val="00B65209"/>
  </w:style>
  <w:style w:type="paragraph" w:styleId="Footer">
    <w:name w:val="footer"/>
    <w:basedOn w:val="Normal"/>
    <w:link w:val="FooterChar"/>
    <w:uiPriority w:val="99"/>
    <w:unhideWhenUsed/>
    <w:rsid w:val="00B65209"/>
    <w:pPr>
      <w:tabs>
        <w:tab w:val="center" w:pos="4513"/>
        <w:tab w:val="right" w:pos="9026"/>
      </w:tabs>
    </w:pPr>
  </w:style>
  <w:style w:type="character" w:customStyle="1" w:styleId="FooterChar">
    <w:name w:val="Footer Char"/>
    <w:basedOn w:val="DefaultParagraphFont"/>
    <w:link w:val="Footer"/>
    <w:uiPriority w:val="99"/>
    <w:rsid w:val="00B65209"/>
  </w:style>
  <w:style w:type="paragraph" w:styleId="BalloonText">
    <w:name w:val="Balloon Text"/>
    <w:basedOn w:val="Normal"/>
    <w:link w:val="BalloonTextChar"/>
    <w:uiPriority w:val="99"/>
    <w:semiHidden/>
    <w:unhideWhenUsed/>
    <w:rsid w:val="00B65209"/>
    <w:rPr>
      <w:rFonts w:ascii="Tahoma" w:hAnsi="Tahoma" w:cs="Tahoma"/>
      <w:sz w:val="16"/>
      <w:szCs w:val="16"/>
    </w:rPr>
  </w:style>
  <w:style w:type="character" w:customStyle="1" w:styleId="BalloonTextChar">
    <w:name w:val="Balloon Text Char"/>
    <w:basedOn w:val="DefaultParagraphFont"/>
    <w:link w:val="BalloonText"/>
    <w:uiPriority w:val="99"/>
    <w:semiHidden/>
    <w:rsid w:val="00B65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E9"/>
    <w:pPr>
      <w:ind w:left="720"/>
      <w:contextualSpacing/>
    </w:pPr>
  </w:style>
  <w:style w:type="paragraph" w:styleId="Header">
    <w:name w:val="header"/>
    <w:basedOn w:val="Normal"/>
    <w:link w:val="HeaderChar"/>
    <w:uiPriority w:val="99"/>
    <w:unhideWhenUsed/>
    <w:rsid w:val="00B65209"/>
    <w:pPr>
      <w:tabs>
        <w:tab w:val="center" w:pos="4513"/>
        <w:tab w:val="right" w:pos="9026"/>
      </w:tabs>
    </w:pPr>
  </w:style>
  <w:style w:type="character" w:customStyle="1" w:styleId="HeaderChar">
    <w:name w:val="Header Char"/>
    <w:basedOn w:val="DefaultParagraphFont"/>
    <w:link w:val="Header"/>
    <w:uiPriority w:val="99"/>
    <w:rsid w:val="00B65209"/>
  </w:style>
  <w:style w:type="paragraph" w:styleId="Footer">
    <w:name w:val="footer"/>
    <w:basedOn w:val="Normal"/>
    <w:link w:val="FooterChar"/>
    <w:uiPriority w:val="99"/>
    <w:unhideWhenUsed/>
    <w:rsid w:val="00B65209"/>
    <w:pPr>
      <w:tabs>
        <w:tab w:val="center" w:pos="4513"/>
        <w:tab w:val="right" w:pos="9026"/>
      </w:tabs>
    </w:pPr>
  </w:style>
  <w:style w:type="character" w:customStyle="1" w:styleId="FooterChar">
    <w:name w:val="Footer Char"/>
    <w:basedOn w:val="DefaultParagraphFont"/>
    <w:link w:val="Footer"/>
    <w:uiPriority w:val="99"/>
    <w:rsid w:val="00B65209"/>
  </w:style>
  <w:style w:type="paragraph" w:styleId="BalloonText">
    <w:name w:val="Balloon Text"/>
    <w:basedOn w:val="Normal"/>
    <w:link w:val="BalloonTextChar"/>
    <w:uiPriority w:val="99"/>
    <w:semiHidden/>
    <w:unhideWhenUsed/>
    <w:rsid w:val="00B65209"/>
    <w:rPr>
      <w:rFonts w:ascii="Tahoma" w:hAnsi="Tahoma" w:cs="Tahoma"/>
      <w:sz w:val="16"/>
      <w:szCs w:val="16"/>
    </w:rPr>
  </w:style>
  <w:style w:type="character" w:customStyle="1" w:styleId="BalloonTextChar">
    <w:name w:val="Balloon Text Char"/>
    <w:basedOn w:val="DefaultParagraphFont"/>
    <w:link w:val="BalloonText"/>
    <w:uiPriority w:val="99"/>
    <w:semiHidden/>
    <w:rsid w:val="00B65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B2DC5972</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linda.currie</dc:creator>
  <cp:lastModifiedBy>pstaines</cp:lastModifiedBy>
  <cp:revision>2</cp:revision>
  <dcterms:created xsi:type="dcterms:W3CDTF">2017-07-18T08:35:00Z</dcterms:created>
  <dcterms:modified xsi:type="dcterms:W3CDTF">2017-07-18T08:35:00Z</dcterms:modified>
</cp:coreProperties>
</file>